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156" w:afterLines="50" w:line="640" w:lineRule="exact"/>
        <w:ind w:firstLine="0"/>
        <w:jc w:val="center"/>
        <w:rPr>
          <w:rFonts w:ascii="方正小标宋简体" w:hAnsi="仿宋" w:eastAsia="方正小标宋简体"/>
          <w:sz w:val="36"/>
          <w:szCs w:val="36"/>
        </w:rPr>
      </w:pPr>
      <w:r>
        <w:rPr>
          <w:rFonts w:hint="eastAsia" w:ascii="方正小标宋简体" w:hAnsi="仿宋" w:eastAsia="方正小标宋简体"/>
          <w:sz w:val="36"/>
          <w:szCs w:val="36"/>
          <w:lang w:val="en-US" w:eastAsia="zh-CN"/>
        </w:rPr>
        <w:t>市级</w:t>
      </w:r>
      <w:r>
        <w:rPr>
          <w:rFonts w:hint="eastAsia" w:ascii="方正小标宋简体" w:hAnsi="仿宋" w:eastAsia="方正小标宋简体"/>
          <w:sz w:val="36"/>
          <w:szCs w:val="36"/>
        </w:rPr>
        <w:t>政府履行教育职责自评表</w:t>
      </w:r>
    </w:p>
    <w:tbl>
      <w:tblPr>
        <w:tblStyle w:val="3"/>
        <w:tblW w:w="956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119"/>
        <w:gridCol w:w="453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76" w:type="dxa"/>
            <w:noWrap w:val="0"/>
            <w:vAlign w:val="center"/>
          </w:tcPr>
          <w:p>
            <w:pPr>
              <w:spacing w:line="0" w:lineRule="atLeast"/>
              <w:jc w:val="center"/>
              <w:rPr>
                <w:rFonts w:ascii="方正小标宋简体" w:hAnsi="仿宋" w:eastAsia="方正小标宋简体"/>
                <w:sz w:val="20"/>
                <w:szCs w:val="20"/>
              </w:rPr>
            </w:pPr>
            <w:r>
              <w:rPr>
                <w:rFonts w:hint="eastAsia" w:ascii="方正小标宋简体" w:hAnsi="仿宋" w:eastAsia="方正小标宋简体"/>
                <w:sz w:val="20"/>
                <w:szCs w:val="20"/>
              </w:rPr>
              <w:t>一级指标</w:t>
            </w:r>
          </w:p>
        </w:tc>
        <w:tc>
          <w:tcPr>
            <w:tcW w:w="3119" w:type="dxa"/>
            <w:noWrap w:val="0"/>
            <w:vAlign w:val="center"/>
          </w:tcPr>
          <w:p>
            <w:pPr>
              <w:spacing w:line="0" w:lineRule="atLeast"/>
              <w:jc w:val="center"/>
              <w:rPr>
                <w:rFonts w:ascii="方正小标宋简体" w:hAnsi="仿宋" w:eastAsia="方正小标宋简体" w:cs="宋体"/>
                <w:sz w:val="20"/>
                <w:szCs w:val="20"/>
                <w:lang w:val="zh-TW" w:eastAsia="zh-TW" w:bidi="zh-TW"/>
              </w:rPr>
            </w:pPr>
            <w:r>
              <w:rPr>
                <w:rFonts w:hint="eastAsia" w:ascii="方正小标宋简体" w:hAnsi="仿宋" w:eastAsia="方正小标宋简体" w:cs="宋体"/>
                <w:sz w:val="20"/>
                <w:szCs w:val="20"/>
                <w:lang w:val="zh-TW" w:eastAsia="zh-TW" w:bidi="zh-TW"/>
              </w:rPr>
              <w:t>二级指标</w:t>
            </w:r>
          </w:p>
        </w:tc>
        <w:tc>
          <w:tcPr>
            <w:tcW w:w="4536" w:type="dxa"/>
            <w:noWrap w:val="0"/>
            <w:vAlign w:val="center"/>
          </w:tcPr>
          <w:p>
            <w:pPr>
              <w:spacing w:line="0" w:lineRule="atLeast"/>
              <w:jc w:val="center"/>
              <w:rPr>
                <w:rFonts w:ascii="方正小标宋简体" w:hAnsi="仿宋" w:eastAsia="方正小标宋简体" w:cs="宋体"/>
                <w:sz w:val="20"/>
                <w:szCs w:val="20"/>
                <w:lang w:val="zh-TW" w:eastAsia="zh-TW" w:bidi="zh-TW"/>
              </w:rPr>
            </w:pPr>
            <w:r>
              <w:rPr>
                <w:rFonts w:hint="eastAsia" w:ascii="方正小标宋简体" w:hAnsi="仿宋" w:eastAsia="方正小标宋简体" w:cs="宋体"/>
                <w:sz w:val="20"/>
                <w:szCs w:val="20"/>
                <w:lang w:val="zh-TW" w:bidi="zh-TW"/>
              </w:rPr>
              <w:t>自评</w:t>
            </w:r>
            <w:r>
              <w:rPr>
                <w:rFonts w:hint="eastAsia" w:ascii="方正小标宋简体" w:hAnsi="仿宋" w:eastAsia="方正小标宋简体" w:cs="宋体"/>
                <w:sz w:val="20"/>
                <w:szCs w:val="20"/>
                <w:lang w:val="zh-TW" w:eastAsia="zh-TW" w:bidi="zh-TW"/>
              </w:rPr>
              <w:t>说明</w:t>
            </w:r>
          </w:p>
        </w:tc>
        <w:tc>
          <w:tcPr>
            <w:tcW w:w="636" w:type="dxa"/>
            <w:noWrap w:val="0"/>
            <w:vAlign w:val="center"/>
          </w:tcPr>
          <w:p>
            <w:pPr>
              <w:spacing w:line="0" w:lineRule="atLeast"/>
              <w:jc w:val="center"/>
              <w:rPr>
                <w:rFonts w:ascii="方正小标宋简体" w:hAnsi="仿宋" w:eastAsia="方正小标宋简体" w:cs="宋体"/>
                <w:sz w:val="20"/>
                <w:szCs w:val="20"/>
                <w:lang w:val="zh-TW" w:bidi="zh-TW"/>
              </w:rPr>
            </w:pPr>
            <w:r>
              <w:rPr>
                <w:rFonts w:hint="eastAsia" w:ascii="方正小标宋简体" w:hAnsi="仿宋" w:eastAsia="方正小标宋简体" w:cs="宋体"/>
                <w:sz w:val="20"/>
                <w:szCs w:val="20"/>
                <w:lang w:val="zh-TW" w:bidi="zh-TW"/>
              </w:rPr>
              <w:t>自评</w:t>
            </w:r>
          </w:p>
          <w:p>
            <w:pPr>
              <w:spacing w:line="0" w:lineRule="atLeast"/>
              <w:jc w:val="center"/>
              <w:rPr>
                <w:rFonts w:ascii="方正小标宋简体" w:hAnsi="仿宋" w:eastAsia="方正小标宋简体" w:cs="宋体"/>
                <w:sz w:val="20"/>
                <w:szCs w:val="20"/>
                <w:lang w:val="zh-TW" w:bidi="zh-TW"/>
              </w:rPr>
            </w:pPr>
            <w:r>
              <w:rPr>
                <w:rFonts w:hint="eastAsia" w:ascii="方正小标宋简体" w:hAnsi="仿宋" w:eastAsia="方正小标宋简体" w:cs="宋体"/>
                <w:sz w:val="20"/>
                <w:szCs w:val="20"/>
                <w:lang w:val="zh-TW" w:bidi="zh-TW"/>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76" w:type="dxa"/>
            <w:vMerge w:val="restart"/>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bidi="zh-TW"/>
              </w:rPr>
              <w:t>一</w:t>
            </w:r>
            <w:r>
              <w:rPr>
                <w:rFonts w:hint="eastAsia" w:ascii="宋体" w:hAnsi="宋体" w:cs="宋体"/>
                <w:szCs w:val="21"/>
                <w:lang w:val="zh-TW" w:eastAsia="zh-TW" w:bidi="zh-TW"/>
              </w:rPr>
              <w:t>、党的领导</w:t>
            </w:r>
          </w:p>
          <w:p>
            <w:pPr>
              <w:spacing w:line="0" w:lineRule="atLeast"/>
              <w:rPr>
                <w:rFonts w:ascii="宋体" w:hAnsi="宋体" w:cs="宋体"/>
                <w:szCs w:val="21"/>
                <w:lang w:val="zh-TW" w:eastAsia="zh-TW" w:bidi="zh-TW"/>
              </w:rPr>
            </w:pPr>
            <w:r>
              <w:rPr>
                <w:rFonts w:hint="eastAsia" w:ascii="宋体" w:hAnsi="宋体" w:cs="宋体"/>
                <w:szCs w:val="21"/>
                <w:lang w:val="zh-TW" w:bidi="zh-TW"/>
              </w:rPr>
              <w:t>（</w:t>
            </w:r>
            <w:r>
              <w:rPr>
                <w:rFonts w:ascii="宋体" w:hAnsi="宋体" w:cs="宋体"/>
                <w:szCs w:val="21"/>
                <w:lang w:val="zh-TW" w:eastAsia="zh-TW" w:bidi="zh-TW"/>
              </w:rPr>
              <w:t>1</w:t>
            </w:r>
            <w:r>
              <w:rPr>
                <w:rFonts w:hint="eastAsia" w:ascii="宋体" w:hAnsi="宋体" w:cs="宋体"/>
                <w:szCs w:val="21"/>
                <w:lang w:val="zh-TW" w:bidi="zh-TW"/>
              </w:rPr>
              <w:t>7</w:t>
            </w:r>
            <w:r>
              <w:rPr>
                <w:rFonts w:hint="eastAsia" w:ascii="宋体" w:hAnsi="宋体" w:cs="宋体"/>
                <w:szCs w:val="21"/>
                <w:lang w:val="zh-TW" w:eastAsia="zh-TW" w:bidi="zh-TW"/>
              </w:rPr>
              <w:t>分）</w:t>
            </w:r>
          </w:p>
        </w:tc>
        <w:tc>
          <w:tcPr>
            <w:tcW w:w="3119" w:type="dxa"/>
            <w:noWrap w:val="0"/>
            <w:vAlign w:val="center"/>
          </w:tcPr>
          <w:p>
            <w:pPr>
              <w:spacing w:line="0" w:lineRule="atLeast"/>
              <w:rPr>
                <w:rFonts w:ascii="宋体" w:hAnsi="宋体" w:cs="宋体"/>
                <w:szCs w:val="21"/>
                <w:lang w:val="zh-TW" w:bidi="zh-TW"/>
              </w:rPr>
            </w:pPr>
            <w:r>
              <w:rPr>
                <w:rFonts w:hint="eastAsia" w:ascii="宋体" w:hAnsi="宋体" w:cs="宋体"/>
                <w:szCs w:val="21"/>
                <w:lang w:val="zh-TW" w:bidi="zh-TW"/>
              </w:rPr>
              <w:t>1.学习贯彻习近平总书记关于教育工作重要论述情况(4分)</w:t>
            </w:r>
          </w:p>
        </w:tc>
        <w:tc>
          <w:tcPr>
            <w:tcW w:w="4536" w:type="dxa"/>
            <w:noWrap w:val="0"/>
            <w:vAlign w:val="center"/>
          </w:tcPr>
          <w:p>
            <w:pPr>
              <w:spacing w:line="0" w:lineRule="atLeast"/>
              <w:rPr>
                <w:rFonts w:ascii="宋体" w:hAnsi="宋体" w:cs="宋体"/>
                <w:szCs w:val="21"/>
                <w:lang w:bidi="zh-TW"/>
              </w:rPr>
            </w:pPr>
            <w:r>
              <w:rPr>
                <w:rFonts w:hint="eastAsia" w:ascii="宋体" w:hAnsi="宋体" w:cs="宋体"/>
                <w:szCs w:val="21"/>
                <w:lang w:val="zh-TW" w:eastAsia="zh-TW" w:bidi="zh-TW"/>
              </w:rPr>
              <w:t>市委教育工作领导小组</w:t>
            </w:r>
            <w:r>
              <w:rPr>
                <w:rFonts w:hint="eastAsia" w:ascii="宋体" w:hAnsi="宋体" w:cs="宋体"/>
                <w:szCs w:val="21"/>
                <w:lang w:val="zh-TW" w:bidi="zh-TW"/>
              </w:rPr>
              <w:t>、</w:t>
            </w:r>
            <w:r>
              <w:rPr>
                <w:rFonts w:hint="eastAsia" w:ascii="宋体" w:hAnsi="宋体" w:cs="宋体"/>
                <w:szCs w:val="21"/>
                <w:lang w:val="zh-TW" w:eastAsia="zh-TW" w:bidi="zh-TW"/>
              </w:rPr>
              <w:t>市政府</w:t>
            </w:r>
            <w:r>
              <w:rPr>
                <w:rFonts w:hint="eastAsia" w:ascii="宋体" w:hAnsi="宋体" w:cs="宋体"/>
                <w:szCs w:val="21"/>
                <w:lang w:val="zh-TW" w:bidi="zh-TW"/>
              </w:rPr>
              <w:t>共学习</w:t>
            </w:r>
            <w:r>
              <w:rPr>
                <w:rFonts w:hint="eastAsia" w:ascii="宋体" w:hAnsi="宋体" w:cs="宋体"/>
                <w:szCs w:val="21"/>
                <w:lang w:bidi="zh-TW"/>
              </w:rPr>
              <w:t>11次。</w:t>
            </w:r>
          </w:p>
        </w:tc>
        <w:tc>
          <w:tcPr>
            <w:tcW w:w="636" w:type="dxa"/>
            <w:noWrap w:val="0"/>
            <w:vAlign w:val="center"/>
          </w:tcPr>
          <w:p>
            <w:pPr>
              <w:spacing w:line="0" w:lineRule="atLeast"/>
              <w:jc w:val="center"/>
              <w:rPr>
                <w:rFonts w:ascii="宋体" w:hAnsi="宋体" w:cs="宋体"/>
                <w:szCs w:val="21"/>
                <w:lang w:bidi="zh-TW"/>
              </w:rPr>
            </w:pPr>
            <w:r>
              <w:rPr>
                <w:rFonts w:hint="eastAsia" w:ascii="宋体" w:hAnsi="宋体" w:cs="宋体"/>
                <w:szCs w:val="21"/>
                <w:lang w:bidi="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center"/>
          </w:tcPr>
          <w:p>
            <w:pPr>
              <w:spacing w:line="0" w:lineRule="atLeast"/>
              <w:rPr>
                <w:rFonts w:ascii="宋体" w:hAnsi="宋体" w:cs="宋体"/>
                <w:szCs w:val="21"/>
                <w:lang w:val="zh-TW" w:bidi="zh-TW"/>
              </w:rPr>
            </w:pPr>
          </w:p>
        </w:tc>
        <w:tc>
          <w:tcPr>
            <w:tcW w:w="3119" w:type="dxa"/>
            <w:noWrap w:val="0"/>
            <w:vAlign w:val="center"/>
          </w:tcPr>
          <w:p>
            <w:pPr>
              <w:spacing w:line="0" w:lineRule="atLeast"/>
              <w:rPr>
                <w:rFonts w:ascii="宋体" w:hAnsi="宋体" w:cs="宋体"/>
                <w:szCs w:val="21"/>
                <w:lang w:val="zh-TW" w:bidi="zh-TW"/>
              </w:rPr>
            </w:pPr>
            <w:r>
              <w:rPr>
                <w:rFonts w:hint="eastAsia" w:ascii="宋体" w:hAnsi="宋体" w:cs="宋体"/>
                <w:szCs w:val="21"/>
                <w:lang w:val="zh-TW" w:eastAsia="zh-TW" w:bidi="zh-TW"/>
              </w:rPr>
              <w:t>2.</w:t>
            </w:r>
            <w:r>
              <w:rPr>
                <w:rFonts w:hint="eastAsia" w:ascii="宋体" w:hAnsi="宋体"/>
                <w:szCs w:val="21"/>
              </w:rPr>
              <w:t xml:space="preserve"> </w:t>
            </w:r>
            <w:r>
              <w:rPr>
                <w:rFonts w:hint="eastAsia" w:ascii="宋体" w:hAnsi="宋体" w:cs="宋体"/>
                <w:szCs w:val="21"/>
                <w:lang w:val="zh-TW" w:bidi="zh-TW"/>
              </w:rPr>
              <w:t>落实学校疫情防控“四方责任”情况(8分)</w:t>
            </w:r>
          </w:p>
        </w:tc>
        <w:tc>
          <w:tcPr>
            <w:tcW w:w="4536" w:type="dxa"/>
            <w:noWrap w:val="0"/>
            <w:vAlign w:val="center"/>
          </w:tcPr>
          <w:p>
            <w:pPr>
              <w:tabs>
                <w:tab w:val="left" w:pos="2594"/>
              </w:tabs>
              <w:spacing w:line="0" w:lineRule="atLeast"/>
              <w:rPr>
                <w:rFonts w:ascii="宋体" w:hAnsi="宋体" w:cs="宋体"/>
                <w:szCs w:val="21"/>
                <w:lang w:val="zh-TW" w:eastAsia="zh-TW" w:bidi="zh-TW"/>
              </w:rPr>
            </w:pPr>
            <w:r>
              <w:rPr>
                <w:rFonts w:hint="eastAsia" w:ascii="宋体" w:hAnsi="宋体" w:cs="宋体"/>
                <w:szCs w:val="21"/>
                <w:lang w:val="zh-TW" w:bidi="zh-TW"/>
              </w:rPr>
              <w:t>截至2022年6月</w:t>
            </w:r>
            <w:r>
              <w:rPr>
                <w:rFonts w:hint="eastAsia" w:ascii="宋体" w:hAnsi="宋体" w:cs="宋体"/>
                <w:szCs w:val="21"/>
                <w:lang w:bidi="zh-TW"/>
              </w:rPr>
              <w:t>30</w:t>
            </w:r>
            <w:r>
              <w:rPr>
                <w:rFonts w:hint="eastAsia" w:ascii="宋体" w:hAnsi="宋体" w:cs="宋体"/>
                <w:szCs w:val="21"/>
                <w:lang w:val="zh-TW" w:bidi="zh-TW"/>
              </w:rPr>
              <w:t>日，阜新市教育系统未发生校园内聚集性疫情；我市严格按照省新冠肺炎疫情防控指挥部文件要求，为域内三所高校分别补足400间健康监测场所，并将纳入本地联防联控机制；制发《阜新市域内高校核酸检测方案》，域内三所高校结合本校实际情况制定“一校一案”，专门指定固定的高水平核酸检测机构和采样队伍进入高校开展核酸检测服务；全面开展3-11岁人群疫苗接种工作，临时接种点设置规范、医疗保障符合“四有”要求，3-11岁人群疫苗接种率预计达到9</w:t>
            </w:r>
            <w:r>
              <w:rPr>
                <w:rFonts w:hint="eastAsia" w:ascii="宋体" w:hAnsi="宋体" w:cs="宋体"/>
                <w:szCs w:val="21"/>
                <w:lang w:bidi="zh-TW"/>
              </w:rPr>
              <w:t>2.33</w:t>
            </w:r>
            <w:r>
              <w:rPr>
                <w:rFonts w:hint="eastAsia" w:ascii="宋体" w:hAnsi="宋体" w:cs="宋体"/>
                <w:szCs w:val="21"/>
                <w:lang w:val="zh-TW" w:bidi="zh-TW"/>
              </w:rPr>
              <w:t>%。</w:t>
            </w:r>
          </w:p>
        </w:tc>
        <w:tc>
          <w:tcPr>
            <w:tcW w:w="636" w:type="dxa"/>
            <w:noWrap w:val="0"/>
            <w:vAlign w:val="center"/>
          </w:tcPr>
          <w:p>
            <w:pPr>
              <w:spacing w:line="0" w:lineRule="atLeast"/>
              <w:jc w:val="center"/>
              <w:rPr>
                <w:rFonts w:ascii="宋体" w:hAnsi="宋体" w:cs="宋体"/>
                <w:szCs w:val="21"/>
                <w:lang w:bidi="zh-TW"/>
              </w:rPr>
            </w:pPr>
            <w:r>
              <w:rPr>
                <w:rFonts w:hint="eastAsia" w:ascii="宋体" w:hAnsi="宋体" w:cs="宋体"/>
                <w:szCs w:val="21"/>
                <w:lang w:bidi="zh-TW"/>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bottom"/>
          </w:tcPr>
          <w:p>
            <w:pPr>
              <w:spacing w:line="0" w:lineRule="atLeast"/>
              <w:rPr>
                <w:rFonts w:ascii="宋体" w:hAnsi="宋体"/>
                <w:szCs w:val="21"/>
              </w:rPr>
            </w:pP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bidi="zh-TW"/>
              </w:rPr>
              <w:t>3</w:t>
            </w:r>
            <w:r>
              <w:rPr>
                <w:rFonts w:hint="eastAsia" w:ascii="宋体" w:hAnsi="宋体" w:cs="宋体"/>
                <w:szCs w:val="21"/>
                <w:lang w:val="zh-TW" w:eastAsia="zh-TW" w:bidi="zh-TW"/>
              </w:rPr>
              <w:t>党建</w:t>
            </w:r>
            <w:r>
              <w:rPr>
                <w:rFonts w:hint="eastAsia" w:ascii="宋体" w:hAnsi="宋体" w:cs="宋体"/>
                <w:szCs w:val="21"/>
                <w:lang w:val="zh-TW" w:bidi="zh-TW"/>
              </w:rPr>
              <w:t>工作</w:t>
            </w:r>
            <w:r>
              <w:rPr>
                <w:rFonts w:hint="eastAsia" w:ascii="宋体" w:hAnsi="宋体" w:cs="宋体"/>
                <w:szCs w:val="21"/>
                <w:lang w:val="zh-TW" w:eastAsia="zh-TW" w:bidi="zh-TW"/>
              </w:rPr>
              <w:t>情况（</w:t>
            </w:r>
            <w:r>
              <w:rPr>
                <w:rFonts w:ascii="宋体" w:hAnsi="宋体" w:cs="宋体"/>
                <w:szCs w:val="21"/>
                <w:lang w:val="zh-TW" w:eastAsia="zh-TW" w:bidi="zh-TW"/>
              </w:rPr>
              <w:t>5</w:t>
            </w:r>
            <w:r>
              <w:rPr>
                <w:rFonts w:hint="eastAsia" w:ascii="宋体" w:hAnsi="宋体" w:cs="宋体"/>
                <w:szCs w:val="21"/>
                <w:lang w:val="zh-TW" w:eastAsia="zh-TW" w:bidi="zh-TW"/>
              </w:rPr>
              <w:t>分）</w:t>
            </w:r>
          </w:p>
        </w:tc>
        <w:tc>
          <w:tcPr>
            <w:tcW w:w="4536"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eastAsia="zh-TW" w:bidi="zh-TW"/>
              </w:rPr>
              <w:t>阜新市教育局全面履行从严治党主体责任，深入贯彻落实党中央决策部署和省市委、政府工作要求。扎实开展党史学习教育，持续落实“两学一做”学习教育，严格规范党内政治生活，党员学习教育常态化制度化。局党组全年召开党组会议43次，党建专题会议3次，中心组学习和研讨21次，落实市委、市政府主要领导批示件4件。成立阜新市民办教育行业党委，各县区成立民办学校党总支或党支部，认真履行民办教育行业党组</w:t>
            </w:r>
            <w:r>
              <w:rPr>
                <w:rFonts w:hint="eastAsia" w:ascii="宋体" w:hAnsi="宋体" w:cs="宋体"/>
                <w:szCs w:val="21"/>
                <w:lang w:bidi="zh-TW"/>
              </w:rPr>
              <w:t xml:space="preserve">   </w:t>
            </w:r>
            <w:r>
              <w:rPr>
                <w:rFonts w:hint="eastAsia" w:ascii="宋体" w:hAnsi="宋体" w:cs="宋体"/>
                <w:szCs w:val="21"/>
                <w:lang w:val="zh-TW" w:eastAsia="zh-TW" w:bidi="zh-TW"/>
              </w:rPr>
              <w:t>织职责。全面推进党建入章工作，从制度上为民办学校党建工作提供保障。不断加强学校党建工作，实现党的组织和党的工作基本全覆盖。</w:t>
            </w:r>
          </w:p>
        </w:tc>
        <w:tc>
          <w:tcPr>
            <w:tcW w:w="636" w:type="dxa"/>
            <w:noWrap w:val="0"/>
            <w:vAlign w:val="center"/>
          </w:tcPr>
          <w:p>
            <w:pPr>
              <w:spacing w:line="0" w:lineRule="atLeast"/>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restart"/>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eastAsia="zh-TW" w:bidi="zh-TW"/>
              </w:rPr>
              <w:t>二、依法治教</w:t>
            </w:r>
          </w:p>
          <w:p>
            <w:pPr>
              <w:spacing w:line="0" w:lineRule="atLeast"/>
              <w:rPr>
                <w:rFonts w:ascii="宋体" w:hAnsi="宋体" w:cs="宋体"/>
                <w:szCs w:val="21"/>
                <w:lang w:val="zh-TW" w:eastAsia="zh-TW" w:bidi="zh-TW"/>
              </w:rPr>
            </w:pPr>
            <w:r>
              <w:rPr>
                <w:rFonts w:hint="eastAsia" w:ascii="宋体" w:hAnsi="宋体" w:cs="宋体"/>
                <w:szCs w:val="21"/>
                <w:lang w:val="zh-TW" w:bidi="zh-TW"/>
              </w:rPr>
              <w:t>（44</w:t>
            </w:r>
            <w:r>
              <w:rPr>
                <w:rFonts w:hint="eastAsia" w:ascii="宋体" w:hAnsi="宋体" w:cs="宋体"/>
                <w:szCs w:val="21"/>
                <w:lang w:val="zh-TW" w:eastAsia="zh-TW" w:bidi="zh-TW"/>
              </w:rPr>
              <w:t>分）</w:t>
            </w:r>
          </w:p>
        </w:tc>
        <w:tc>
          <w:tcPr>
            <w:tcW w:w="3119" w:type="dxa"/>
            <w:noWrap w:val="0"/>
            <w:vAlign w:val="center"/>
          </w:tcPr>
          <w:p>
            <w:pPr>
              <w:spacing w:line="0" w:lineRule="atLeast"/>
              <w:rPr>
                <w:rFonts w:ascii="宋体" w:hAnsi="宋体" w:cs="宋体"/>
                <w:szCs w:val="21"/>
                <w:lang w:val="zh-TW" w:bidi="zh-TW"/>
              </w:rPr>
            </w:pPr>
            <w:r>
              <w:rPr>
                <w:rFonts w:hint="eastAsia" w:ascii="宋体" w:hAnsi="宋体" w:cs="宋体"/>
                <w:szCs w:val="21"/>
                <w:lang w:val="zh-TW" w:eastAsia="zh-TW" w:bidi="zh-TW"/>
              </w:rPr>
              <w:t>4</w:t>
            </w:r>
            <w:r>
              <w:rPr>
                <w:rFonts w:hint="eastAsia" w:ascii="宋体" w:hAnsi="宋体"/>
                <w:szCs w:val="21"/>
              </w:rPr>
              <w:t xml:space="preserve"> </w:t>
            </w:r>
            <w:r>
              <w:rPr>
                <w:rFonts w:hint="eastAsia" w:ascii="宋体" w:hAnsi="宋体" w:cs="宋体"/>
                <w:szCs w:val="21"/>
                <w:lang w:val="zh-TW" w:eastAsia="zh-TW" w:bidi="zh-TW"/>
              </w:rPr>
              <w:t>.校园安全工作情况(8分)</w:t>
            </w:r>
          </w:p>
        </w:tc>
        <w:tc>
          <w:tcPr>
            <w:tcW w:w="4536" w:type="dxa"/>
            <w:noWrap w:val="0"/>
            <w:vAlign w:val="center"/>
          </w:tcPr>
          <w:p>
            <w:pPr>
              <w:spacing w:line="0" w:lineRule="atLeast"/>
              <w:rPr>
                <w:rFonts w:ascii="宋体" w:hAnsi="宋体" w:cs="宋体"/>
                <w:szCs w:val="21"/>
                <w:lang w:val="zh-TW" w:eastAsia="zh-TW" w:bidi="zh-TW"/>
              </w:rPr>
            </w:pPr>
            <w:r>
              <w:rPr>
                <w:rFonts w:hint="eastAsia" w:ascii="宋体" w:hAnsi="宋体" w:cs="仿宋"/>
                <w:szCs w:val="21"/>
                <w:lang w:val="zh-TW" w:bidi="zh-TW"/>
              </w:rPr>
              <w:t>持续开展安全教育工作，利用开学第一课、安全教育日、安全生产月、季节性变化等重要时段开展国家安全、交通、消防、防溺水、防校园欺凌、燃气、防灾减灾、禁毒、电信网络诈骗等内容的安全教育，全面提升学生安全防范意识，提高应急处置能力。如期完成安防建设</w:t>
            </w:r>
            <w:r>
              <w:rPr>
                <w:rFonts w:hint="eastAsia" w:ascii="宋体" w:hAnsi="宋体" w:cs="仿宋"/>
                <w:szCs w:val="21"/>
                <w:lang w:bidi="zh-TW"/>
              </w:rPr>
              <w:t>四个100%达标任务。强化责任落实“高峰勤务、护学岗”机制建设；市市场局、住建局等相关部门开展校园周边综合治理，确保校园周边安全稳定，全市未发生伤亡和安全责任事故。校园安全专项督查及“回头看”关于民族街小学消防栓全问题正在在整改中。</w:t>
            </w:r>
          </w:p>
        </w:tc>
        <w:tc>
          <w:tcPr>
            <w:tcW w:w="636" w:type="dxa"/>
            <w:noWrap w:val="0"/>
            <w:vAlign w:val="center"/>
          </w:tcPr>
          <w:p>
            <w:pPr>
              <w:spacing w:line="0" w:lineRule="atLeast"/>
              <w:jc w:val="center"/>
              <w:rPr>
                <w:rFonts w:ascii="宋体" w:hAnsi="宋体" w:cs="宋体"/>
                <w:szCs w:val="21"/>
                <w:lang w:val="zh-TW" w:eastAsia="zh-TW" w:bidi="zh-TW"/>
              </w:rPr>
            </w:pPr>
            <w:r>
              <w:rPr>
                <w:rFonts w:hint="eastAsia" w:ascii="宋体" w:hAnsi="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center"/>
          </w:tcPr>
          <w:p>
            <w:pPr>
              <w:spacing w:line="0" w:lineRule="atLeast"/>
              <w:rPr>
                <w:rFonts w:ascii="宋体" w:hAnsi="宋体" w:cs="宋体"/>
                <w:szCs w:val="21"/>
                <w:lang w:val="zh-TW" w:eastAsia="zh-TW" w:bidi="zh-TW"/>
              </w:rPr>
            </w:pP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bidi="zh-TW"/>
              </w:rPr>
              <w:t>5.</w:t>
            </w:r>
            <w:r>
              <w:rPr>
                <w:rFonts w:hint="eastAsia" w:ascii="宋体" w:hAnsi="宋体"/>
                <w:szCs w:val="21"/>
              </w:rPr>
              <w:t xml:space="preserve"> </w:t>
            </w:r>
            <w:r>
              <w:rPr>
                <w:rFonts w:hint="eastAsia" w:ascii="宋体" w:hAnsi="宋体" w:cs="宋体"/>
                <w:szCs w:val="21"/>
                <w:lang w:val="zh-TW" w:eastAsia="zh-TW" w:bidi="zh-TW"/>
              </w:rPr>
              <w:t>“五育并举”落实情况(10分)</w:t>
            </w:r>
          </w:p>
        </w:tc>
        <w:tc>
          <w:tcPr>
            <w:tcW w:w="4536"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bidi="zh-TW"/>
              </w:rPr>
              <w:t>坚定不移用习近平新时代中国特色社会主义思想铸魂育人，落实立德树人根本任务，大力培育和践行社会主义核心价值观，</w:t>
            </w:r>
            <w:r>
              <w:rPr>
                <w:rFonts w:hint="eastAsia" w:ascii="宋体" w:hAnsi="宋体" w:cs="宋体"/>
                <w:szCs w:val="21"/>
                <w:lang w:bidi="zh-TW"/>
              </w:rPr>
              <w:t>坚持“五育并举”，全面发展</w:t>
            </w:r>
            <w:r>
              <w:rPr>
                <w:rFonts w:hint="eastAsia" w:ascii="宋体" w:hAnsi="宋体" w:cs="宋体"/>
                <w:szCs w:val="21"/>
                <w:lang w:val="zh-TW" w:bidi="zh-TW"/>
              </w:rPr>
              <w:t>。制发《阜新市提升中小学德育工作三年行动实施方案（2022—2024年）》《阜新市中小学德育工作评价细则》，全面提升我市中小学德育工作水平。制发《关于开齐开足开好课程的通知》，开足开齐《习近平新时代中国特色社会主义思想学生读本》《道德与法治》等课程。开展庆祝建党100周年“传承红色基因 讲好阜新故事”等系列活动和落实《中小学德育工作指南》“一校一案”评选活动，多形式、多渠道加强党史学习教育。制发《阜新市全面加强新时代大中小学劳动教育的实施意见》和《阜新市高中阶段学校考试招生制度改革实施方案（试行）》，全面保障劳动教育课程、课时、教师和经费，并将劳动教育纳入中考范畴，劳动教育成果显著。打造立体、直观、生动的特色党史实践教学阵地，多形式、多渠道加强党史学习教育。高效完成《国家学生体质健康标准》测试工作，学生测试率达到100%，数据上报成功率100%。学生体质健康标准优良率为</w:t>
            </w:r>
            <w:r>
              <w:rPr>
                <w:rFonts w:hint="eastAsia" w:ascii="宋体" w:hAnsi="宋体" w:cs="宋体"/>
                <w:szCs w:val="21"/>
                <w:lang w:bidi="zh-TW"/>
              </w:rPr>
              <w:t>46.8%</w:t>
            </w:r>
            <w:r>
              <w:rPr>
                <w:rFonts w:hint="eastAsia" w:ascii="宋体" w:hAnsi="宋体" w:cs="宋体"/>
                <w:szCs w:val="21"/>
                <w:lang w:val="zh-TW" w:bidi="zh-TW"/>
              </w:rPr>
              <w:t>。</w:t>
            </w:r>
          </w:p>
        </w:tc>
        <w:tc>
          <w:tcPr>
            <w:tcW w:w="636" w:type="dxa"/>
            <w:noWrap w:val="0"/>
            <w:vAlign w:val="center"/>
          </w:tcPr>
          <w:p>
            <w:pPr>
              <w:spacing w:line="0" w:lineRule="atLeast"/>
              <w:jc w:val="center"/>
              <w:rPr>
                <w:rFonts w:ascii="宋体" w:hAnsi="宋体" w:cs="宋体"/>
                <w:szCs w:val="21"/>
                <w:lang w:bidi="zh-TW"/>
              </w:rPr>
            </w:pPr>
            <w:r>
              <w:rPr>
                <w:rFonts w:hint="eastAsia" w:ascii="宋体" w:hAnsi="宋体" w:cs="宋体"/>
                <w:szCs w:val="21"/>
                <w:lang w:bidi="zh-TW"/>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center"/>
          </w:tcPr>
          <w:p>
            <w:pPr>
              <w:spacing w:line="0" w:lineRule="atLeast"/>
              <w:rPr>
                <w:rFonts w:ascii="宋体" w:hAnsi="宋体"/>
                <w:szCs w:val="21"/>
              </w:rPr>
            </w:pP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bidi="zh-TW"/>
              </w:rPr>
              <w:t>6</w:t>
            </w:r>
            <w:r>
              <w:rPr>
                <w:rFonts w:hint="eastAsia" w:ascii="宋体" w:hAnsi="宋体" w:cs="宋体"/>
                <w:szCs w:val="21"/>
                <w:lang w:val="zh-TW" w:eastAsia="zh-TW" w:bidi="zh-TW"/>
              </w:rPr>
              <w:t>.</w:t>
            </w:r>
            <w:r>
              <w:rPr>
                <w:rFonts w:hint="eastAsia" w:ascii="宋体" w:hAnsi="宋体"/>
                <w:szCs w:val="21"/>
              </w:rPr>
              <w:t xml:space="preserve"> </w:t>
            </w:r>
            <w:r>
              <w:rPr>
                <w:rFonts w:hint="eastAsia" w:ascii="宋体" w:hAnsi="宋体" w:cs="宋体"/>
                <w:szCs w:val="21"/>
                <w:lang w:val="zh-TW" w:eastAsia="zh-TW" w:bidi="zh-TW"/>
              </w:rPr>
              <w:t>规范招生与办学情况(8分)</w:t>
            </w:r>
          </w:p>
        </w:tc>
        <w:tc>
          <w:tcPr>
            <w:tcW w:w="4536"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bidi="zh-TW"/>
              </w:rPr>
              <w:t>制</w:t>
            </w:r>
            <w:r>
              <w:rPr>
                <w:rFonts w:ascii="宋体" w:hAnsi="宋体" w:cs="宋体"/>
                <w:szCs w:val="21"/>
                <w:lang w:bidi="zh-TW"/>
              </w:rPr>
              <w:t>发《阜新市2021年普通高中、中等职业学校招生考试工作的意见》</w:t>
            </w:r>
            <w:r>
              <w:rPr>
                <w:rFonts w:hint="eastAsia" w:ascii="宋体" w:hAnsi="宋体" w:cs="宋体"/>
                <w:szCs w:val="21"/>
                <w:lang w:bidi="zh-TW"/>
              </w:rPr>
              <w:t>，做到</w:t>
            </w:r>
            <w:r>
              <w:rPr>
                <w:rFonts w:ascii="宋体" w:hAnsi="宋体" w:cs="宋体"/>
                <w:szCs w:val="21"/>
                <w:lang w:bidi="zh-TW"/>
              </w:rPr>
              <w:t>公办、民办高中</w:t>
            </w:r>
            <w:r>
              <w:rPr>
                <w:rFonts w:hint="eastAsia" w:ascii="宋体" w:hAnsi="宋体" w:cs="宋体"/>
                <w:szCs w:val="21"/>
                <w:lang w:bidi="zh-TW"/>
              </w:rPr>
              <w:t>统一标准、统一方式在</w:t>
            </w:r>
            <w:r>
              <w:rPr>
                <w:rFonts w:ascii="宋体" w:hAnsi="宋体" w:cs="宋体"/>
                <w:szCs w:val="21"/>
                <w:lang w:bidi="zh-TW"/>
              </w:rPr>
              <w:t>属地</w:t>
            </w:r>
            <w:r>
              <w:rPr>
                <w:rFonts w:hint="eastAsia" w:ascii="宋体" w:hAnsi="宋体" w:cs="宋体"/>
                <w:szCs w:val="21"/>
                <w:lang w:bidi="zh-TW"/>
              </w:rPr>
              <w:t>同步</w:t>
            </w:r>
            <w:r>
              <w:rPr>
                <w:rFonts w:ascii="宋体" w:hAnsi="宋体" w:cs="宋体"/>
                <w:szCs w:val="21"/>
                <w:lang w:bidi="zh-TW"/>
              </w:rPr>
              <w:t>招生。</w:t>
            </w:r>
            <w:r>
              <w:rPr>
                <w:rFonts w:hint="eastAsia" w:ascii="宋体" w:hAnsi="宋体" w:cs="宋体"/>
                <w:szCs w:val="21"/>
                <w:lang w:bidi="zh-TW"/>
              </w:rPr>
              <w:t>制</w:t>
            </w:r>
            <w:r>
              <w:rPr>
                <w:rFonts w:ascii="宋体" w:hAnsi="宋体" w:cs="宋体"/>
                <w:szCs w:val="21"/>
                <w:lang w:bidi="zh-TW"/>
              </w:rPr>
              <w:t>发《关于做好2021年普通中小学招生入学工作的通知》《关于做好2021年全市义务教育学校均衡分班工作的通知》</w:t>
            </w:r>
            <w:r>
              <w:rPr>
                <w:rFonts w:hint="eastAsia" w:ascii="宋体" w:hAnsi="宋体" w:cs="宋体"/>
                <w:szCs w:val="21"/>
                <w:lang w:bidi="zh-TW"/>
              </w:rPr>
              <w:t>，实施义务教育阶段学生免试就近入学、公办民办同步招生、全域均衡分班，做到义务教育阶段招生入学工作平稳有序。严格考试管理。市及县区分别成立“义务教育考试审核专家委员会”，严格考试命题，控制考试次数、考试难度，考试成绩实行等级制，切实减轻学生的学业负担和考试负担。</w:t>
            </w:r>
          </w:p>
        </w:tc>
        <w:tc>
          <w:tcPr>
            <w:tcW w:w="636" w:type="dxa"/>
            <w:noWrap w:val="0"/>
            <w:vAlign w:val="center"/>
          </w:tcPr>
          <w:p>
            <w:pPr>
              <w:spacing w:line="0" w:lineRule="atLeast"/>
              <w:jc w:val="center"/>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center"/>
          </w:tcPr>
          <w:p>
            <w:pPr>
              <w:spacing w:line="0" w:lineRule="atLeast"/>
              <w:rPr>
                <w:rFonts w:ascii="宋体" w:hAnsi="宋体"/>
                <w:szCs w:val="21"/>
              </w:rPr>
            </w:pP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bidi="zh-TW"/>
              </w:rPr>
              <w:t>7</w:t>
            </w:r>
            <w:r>
              <w:rPr>
                <w:rFonts w:hint="eastAsia" w:ascii="宋体" w:hAnsi="宋体" w:cs="宋体"/>
                <w:szCs w:val="21"/>
                <w:lang w:val="zh-TW" w:eastAsia="zh-TW" w:bidi="zh-TW"/>
              </w:rPr>
              <w:t>.</w:t>
            </w:r>
            <w:r>
              <w:rPr>
                <w:rFonts w:hint="eastAsia" w:ascii="宋体" w:hAnsi="宋体"/>
                <w:szCs w:val="21"/>
              </w:rPr>
              <w:t xml:space="preserve"> </w:t>
            </w:r>
            <w:r>
              <w:rPr>
                <w:rFonts w:hint="eastAsia" w:ascii="宋体" w:hAnsi="宋体" w:cs="宋体"/>
                <w:szCs w:val="21"/>
                <w:lang w:val="zh-TW" w:bidi="zh-TW"/>
              </w:rPr>
              <w:t>“双减”工作落实情况(10分)</w:t>
            </w:r>
          </w:p>
        </w:tc>
        <w:tc>
          <w:tcPr>
            <w:tcW w:w="4536" w:type="dxa"/>
            <w:noWrap w:val="0"/>
            <w:vAlign w:val="center"/>
          </w:tcPr>
          <w:p>
            <w:pPr>
              <w:spacing w:line="0" w:lineRule="atLeast"/>
              <w:ind w:firstLine="420" w:firstLineChars="200"/>
              <w:rPr>
                <w:rFonts w:ascii="宋体" w:hAnsi="宋体" w:cs="宋体"/>
                <w:szCs w:val="21"/>
                <w:lang w:val="zh-TW" w:eastAsia="zh-TW" w:bidi="zh-TW"/>
              </w:rPr>
            </w:pPr>
            <w:r>
              <w:rPr>
                <w:rFonts w:hint="eastAsia" w:ascii="宋体" w:hAnsi="宋体" w:cs="仿宋"/>
                <w:szCs w:val="21"/>
                <w:lang w:bidi="zh-TW"/>
              </w:rPr>
              <w:t>“双减”工作开展以来，我市制发</w:t>
            </w:r>
            <w:r>
              <w:rPr>
                <w:rFonts w:hint="eastAsia" w:ascii="宋体" w:hAnsi="宋体" w:cs="仿宋"/>
                <w:szCs w:val="21"/>
                <w:lang w:val="zh-TW" w:bidi="zh-TW"/>
              </w:rPr>
              <w:t>学生手机、作业、睡眠、读物和体质管理规定，印发“五项管理”明白卡，使学校、学生、家长充分了解意义和要求，形成学校、家庭、社会合力。市海州区被省教育厅评为“辽宁省中小学五项管理工作先进单位”。</w:t>
            </w:r>
            <w:r>
              <w:rPr>
                <w:rFonts w:hint="eastAsia" w:ascii="宋体" w:hAnsi="宋体" w:cs="仿宋"/>
                <w:szCs w:val="21"/>
                <w:lang w:bidi="zh-TW"/>
              </w:rPr>
              <w:t>阜蒙县蒙古族实验小学的“小学低年级‘争星闯关’表现性评价”活动，在新华社客户端发布，“‘双减</w:t>
            </w:r>
            <w:r>
              <w:rPr>
                <w:rFonts w:ascii="宋体" w:hAnsi="宋体" w:cs="仿宋"/>
                <w:szCs w:val="21"/>
                <w:lang w:bidi="zh-TW"/>
              </w:rPr>
              <w:t>’</w:t>
            </w:r>
            <w:r>
              <w:rPr>
                <w:rFonts w:hint="eastAsia" w:ascii="宋体" w:hAnsi="宋体" w:cs="仿宋"/>
                <w:szCs w:val="21"/>
                <w:lang w:bidi="zh-TW"/>
              </w:rPr>
              <w:t>后，期末考试有啥新变化”经验做法在今年1月11日《中国教育报》头版刊登。我市部分经验做法和亮点工作被教育部</w:t>
            </w:r>
            <w:r>
              <w:rPr>
                <w:rFonts w:ascii="宋体" w:hAnsi="宋体" w:cs="仿宋"/>
                <w:szCs w:val="21"/>
                <w:lang w:bidi="zh-TW"/>
              </w:rPr>
              <w:t>21</w:t>
            </w:r>
            <w:r>
              <w:rPr>
                <w:rFonts w:hint="eastAsia" w:ascii="宋体" w:hAnsi="宋体" w:cs="仿宋"/>
                <w:szCs w:val="21"/>
                <w:lang w:bidi="zh-TW"/>
              </w:rPr>
              <w:t>次刊登在《“双减”改革每日快报》和《“双减”改革各地动态》，太平区“双边技防”作为第二批典型案例向全国推广。160所义务教育阶段学科类校外培训机构，申请注销156家，转型4家，压减率100%。校外培训治理常态化推进，共取缔“无证无照”机构339个，查处“隐形变异”87个，违规牌匾广告431个。委托银行机构实时监控239家培训机构预收费支出，最大限度保障师生合法权益。高度关注培训机构动态，密切关注社会和网络舆情，未出现“卷跑路”和“退费难”线索，舆情平稳。</w:t>
            </w:r>
          </w:p>
        </w:tc>
        <w:tc>
          <w:tcPr>
            <w:tcW w:w="636" w:type="dxa"/>
            <w:noWrap w:val="0"/>
            <w:vAlign w:val="center"/>
          </w:tcPr>
          <w:p>
            <w:pPr>
              <w:spacing w:line="0" w:lineRule="atLeast"/>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center"/>
          </w:tcPr>
          <w:p>
            <w:pPr>
              <w:spacing w:line="0" w:lineRule="atLeast"/>
              <w:rPr>
                <w:rFonts w:ascii="宋体" w:hAnsi="宋体"/>
                <w:szCs w:val="21"/>
              </w:rPr>
            </w:pPr>
          </w:p>
        </w:tc>
        <w:tc>
          <w:tcPr>
            <w:tcW w:w="3119" w:type="dxa"/>
            <w:noWrap w:val="0"/>
            <w:vAlign w:val="center"/>
          </w:tcPr>
          <w:p>
            <w:pPr>
              <w:spacing w:line="0" w:lineRule="atLeast"/>
              <w:rPr>
                <w:rFonts w:ascii="宋体" w:hAnsi="宋体" w:cs="宋体"/>
                <w:szCs w:val="21"/>
                <w:lang w:val="zh-TW" w:bidi="zh-TW"/>
              </w:rPr>
            </w:pPr>
            <w:r>
              <w:rPr>
                <w:rFonts w:hint="eastAsia" w:ascii="宋体" w:hAnsi="宋体" w:cs="宋体"/>
                <w:szCs w:val="21"/>
                <w:lang w:val="zh-TW" w:bidi="zh-TW"/>
              </w:rPr>
              <w:t>8</w:t>
            </w:r>
            <w:r>
              <w:rPr>
                <w:rFonts w:ascii="宋体" w:hAnsi="宋体" w:cs="宋体"/>
                <w:szCs w:val="21"/>
                <w:lang w:val="zh-TW" w:eastAsia="zh-TW" w:bidi="zh-TW"/>
              </w:rPr>
              <w:t>.</w:t>
            </w:r>
            <w:r>
              <w:rPr>
                <w:rFonts w:hint="eastAsia" w:ascii="宋体" w:hAnsi="宋体" w:cs="宋体"/>
                <w:szCs w:val="21"/>
                <w:lang w:val="zh-TW" w:bidi="zh-TW"/>
              </w:rPr>
              <w:t>师德师风建设情况（</w:t>
            </w:r>
            <w:r>
              <w:rPr>
                <w:rFonts w:ascii="宋体" w:hAnsi="宋体" w:cs="宋体"/>
                <w:szCs w:val="21"/>
                <w:lang w:val="zh-TW" w:bidi="zh-TW"/>
              </w:rPr>
              <w:t>3</w:t>
            </w:r>
            <w:r>
              <w:rPr>
                <w:rFonts w:hint="eastAsia" w:ascii="宋体" w:hAnsi="宋体" w:cs="宋体"/>
                <w:szCs w:val="21"/>
                <w:lang w:val="zh-TW" w:bidi="zh-TW"/>
              </w:rPr>
              <w:t>分</w:t>
            </w:r>
            <w:r>
              <w:rPr>
                <w:rFonts w:ascii="宋体" w:hAnsi="宋体" w:cs="宋体"/>
                <w:szCs w:val="21"/>
                <w:lang w:val="zh-TW" w:bidi="zh-TW"/>
              </w:rPr>
              <w:t>）</w:t>
            </w:r>
          </w:p>
        </w:tc>
        <w:tc>
          <w:tcPr>
            <w:tcW w:w="4536"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bidi="zh-TW"/>
              </w:rPr>
              <w:t>无省级以上发现的违反师德师风问题线索，以及影响恶劣的重大师德师风问题。</w:t>
            </w:r>
          </w:p>
        </w:tc>
        <w:tc>
          <w:tcPr>
            <w:tcW w:w="636" w:type="dxa"/>
            <w:noWrap w:val="0"/>
            <w:vAlign w:val="center"/>
          </w:tcPr>
          <w:p>
            <w:pPr>
              <w:spacing w:line="0" w:lineRule="atLeas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center"/>
          </w:tcPr>
          <w:p>
            <w:pPr>
              <w:spacing w:line="0" w:lineRule="atLeast"/>
              <w:rPr>
                <w:rFonts w:ascii="宋体" w:hAnsi="宋体"/>
                <w:szCs w:val="21"/>
              </w:rPr>
            </w:pP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bidi="zh-TW"/>
              </w:rPr>
              <w:t>9</w:t>
            </w:r>
            <w:r>
              <w:rPr>
                <w:rFonts w:hint="eastAsia" w:ascii="宋体" w:hAnsi="宋体" w:cs="宋体"/>
                <w:szCs w:val="21"/>
                <w:lang w:val="zh-TW" w:eastAsia="zh-TW" w:bidi="zh-TW"/>
              </w:rPr>
              <w:t>.评价整改落实（</w:t>
            </w:r>
            <w:r>
              <w:rPr>
                <w:rFonts w:hint="eastAsia" w:ascii="宋体" w:hAnsi="宋体" w:cs="宋体"/>
                <w:szCs w:val="21"/>
                <w:lang w:val="zh-TW" w:bidi="zh-TW"/>
              </w:rPr>
              <w:t>5</w:t>
            </w:r>
            <w:r>
              <w:rPr>
                <w:rFonts w:hint="eastAsia" w:ascii="宋体" w:hAnsi="宋体" w:cs="宋体"/>
                <w:szCs w:val="21"/>
                <w:lang w:val="zh-TW" w:eastAsia="zh-TW" w:bidi="zh-TW"/>
              </w:rPr>
              <w:t>分）</w:t>
            </w:r>
          </w:p>
        </w:tc>
        <w:tc>
          <w:tcPr>
            <w:tcW w:w="4536" w:type="dxa"/>
            <w:noWrap w:val="0"/>
            <w:vAlign w:val="center"/>
          </w:tcPr>
          <w:p>
            <w:pPr>
              <w:spacing w:line="0" w:lineRule="atLeast"/>
              <w:rPr>
                <w:rFonts w:ascii="宋体" w:hAnsi="宋体" w:cs="宋体"/>
                <w:szCs w:val="21"/>
                <w:lang w:val="zh-CN" w:bidi="zh-CN"/>
              </w:rPr>
            </w:pPr>
            <w:r>
              <w:rPr>
                <w:rFonts w:hint="eastAsia" w:ascii="宋体" w:hAnsi="宋体" w:cs="宋体"/>
                <w:szCs w:val="21"/>
                <w:lang w:bidi="zh-CN"/>
              </w:rPr>
              <w:t>已整改落实4项，整改中2项，未整改到位1项</w:t>
            </w:r>
          </w:p>
        </w:tc>
        <w:tc>
          <w:tcPr>
            <w:tcW w:w="636" w:type="dxa"/>
            <w:noWrap w:val="0"/>
            <w:vAlign w:val="center"/>
          </w:tcPr>
          <w:p>
            <w:pPr>
              <w:spacing w:line="0" w:lineRule="atLeast"/>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restart"/>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eastAsia="zh-TW" w:bidi="zh-TW"/>
              </w:rPr>
              <w:t>三、教育</w:t>
            </w:r>
            <w:r>
              <w:rPr>
                <w:rFonts w:hint="eastAsia" w:ascii="宋体" w:hAnsi="宋体" w:cs="宋体"/>
                <w:szCs w:val="21"/>
                <w:lang w:val="zh-TW" w:bidi="zh-TW"/>
              </w:rPr>
              <w:t>保障</w:t>
            </w:r>
            <w:r>
              <w:rPr>
                <w:rFonts w:hint="eastAsia" w:ascii="宋体" w:hAnsi="宋体" w:cs="宋体"/>
                <w:szCs w:val="21"/>
                <w:lang w:val="zh-TW" w:eastAsia="zh-TW" w:bidi="zh-TW"/>
              </w:rPr>
              <w:t xml:space="preserve"> </w:t>
            </w:r>
          </w:p>
          <w:p>
            <w:pPr>
              <w:spacing w:line="0" w:lineRule="atLeast"/>
              <w:rPr>
                <w:rFonts w:ascii="宋体" w:hAnsi="宋体" w:cs="宋体"/>
                <w:szCs w:val="21"/>
                <w:lang w:val="zh-TW" w:eastAsia="zh-TW" w:bidi="zh-TW"/>
              </w:rPr>
            </w:pPr>
            <w:r>
              <w:rPr>
                <w:rFonts w:hint="eastAsia" w:ascii="宋体" w:hAnsi="宋体" w:cs="宋体"/>
                <w:szCs w:val="21"/>
                <w:lang w:val="zh-TW" w:bidi="zh-TW"/>
              </w:rPr>
              <w:t>（20</w:t>
            </w:r>
            <w:r>
              <w:rPr>
                <w:rFonts w:hint="eastAsia" w:ascii="宋体" w:hAnsi="宋体" w:cs="宋体"/>
                <w:szCs w:val="21"/>
                <w:lang w:val="zh-TW" w:eastAsia="zh-TW" w:bidi="zh-TW"/>
              </w:rPr>
              <w:t>分）</w:t>
            </w: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rPr>
              <w:t>10.</w:t>
            </w:r>
            <w:r>
              <w:rPr>
                <w:rFonts w:hint="eastAsia" w:ascii="宋体" w:hAnsi="宋体" w:cs="宋体"/>
                <w:szCs w:val="21"/>
                <w:lang w:val="zh-TW" w:bidi="zh-TW"/>
              </w:rPr>
              <w:t>教育经费保障情况（13分</w:t>
            </w:r>
            <w:r>
              <w:rPr>
                <w:rFonts w:hint="eastAsia" w:ascii="宋体" w:hAnsi="宋体" w:cs="宋体"/>
                <w:szCs w:val="21"/>
                <w:lang w:val="zh-TW" w:eastAsia="zh-TW" w:bidi="zh-TW"/>
              </w:rPr>
              <w:t>）</w:t>
            </w:r>
          </w:p>
        </w:tc>
        <w:tc>
          <w:tcPr>
            <w:tcW w:w="4536" w:type="dxa"/>
            <w:noWrap w:val="0"/>
            <w:vAlign w:val="center"/>
          </w:tcPr>
          <w:p>
            <w:pPr>
              <w:spacing w:line="0" w:lineRule="atLeast"/>
              <w:rPr>
                <w:rFonts w:ascii="宋体" w:hAnsi="宋体" w:cs="宋体"/>
                <w:szCs w:val="21"/>
                <w:lang w:val="zh-TW" w:bidi="zh-TW"/>
              </w:rPr>
            </w:pPr>
            <w:r>
              <w:rPr>
                <w:rFonts w:hint="eastAsia" w:ascii="宋体" w:hAnsi="宋体" w:cs="宋体"/>
                <w:szCs w:val="21"/>
                <w:lang w:val="zh-TW" w:bidi="zh-TW"/>
              </w:rPr>
              <w:t>一般公共预算教育支出增7.91%；生均一般公共预算教育支出除高职、初中生均教育经费增长外，其余全部都有不同程度下降；基础教育公用经费及时足额保障；按规定及时足额拨付教育经费；按要求将校园安全工作纳入一般公共预算予以保障，投入资金用于校园安全问题隐患整改、安防系统升级；教育收费行为规范</w:t>
            </w:r>
            <w:r>
              <w:rPr>
                <w:rFonts w:hint="eastAsia" w:ascii="宋体" w:hAnsi="宋体" w:cs="宋体"/>
                <w:szCs w:val="21"/>
                <w:lang w:bidi="zh-TW"/>
              </w:rPr>
              <w:t>。</w:t>
            </w:r>
          </w:p>
        </w:tc>
        <w:tc>
          <w:tcPr>
            <w:tcW w:w="636" w:type="dxa"/>
            <w:noWrap w:val="0"/>
            <w:vAlign w:val="center"/>
          </w:tcPr>
          <w:p>
            <w:pPr>
              <w:spacing w:line="0" w:lineRule="atLeast"/>
              <w:jc w:val="center"/>
              <w:rPr>
                <w:rFonts w:ascii="宋体" w:hAnsi="宋体" w:cs="宋体"/>
                <w:szCs w:val="21"/>
                <w:lang w:bidi="zh-TW"/>
              </w:rPr>
            </w:pPr>
            <w:r>
              <w:rPr>
                <w:rFonts w:hint="eastAsia" w:ascii="宋体" w:hAnsi="宋体" w:cs="宋体"/>
                <w:szCs w:val="21"/>
                <w:lang w:bidi="zh-TW"/>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center"/>
          </w:tcPr>
          <w:p>
            <w:pPr>
              <w:spacing w:line="0" w:lineRule="atLeast"/>
              <w:rPr>
                <w:rFonts w:ascii="宋体" w:hAnsi="宋体"/>
                <w:szCs w:val="21"/>
              </w:rPr>
            </w:pP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eastAsia="zh-TW" w:bidi="zh-TW"/>
              </w:rPr>
              <w:t>1</w:t>
            </w:r>
            <w:r>
              <w:rPr>
                <w:rFonts w:hint="eastAsia" w:ascii="宋体" w:hAnsi="宋体" w:cs="宋体"/>
                <w:szCs w:val="21"/>
                <w:lang w:val="zh-TW" w:bidi="zh-TW"/>
              </w:rPr>
              <w:t>1</w:t>
            </w:r>
            <w:r>
              <w:rPr>
                <w:rFonts w:hint="eastAsia" w:ascii="宋体" w:hAnsi="宋体" w:cs="宋体"/>
                <w:szCs w:val="21"/>
                <w:lang w:val="zh-TW" w:eastAsia="zh-TW" w:bidi="zh-TW"/>
              </w:rPr>
              <w:t>.</w:t>
            </w:r>
            <w:r>
              <w:rPr>
                <w:rFonts w:hint="eastAsia" w:ascii="宋体" w:hAnsi="宋体"/>
                <w:szCs w:val="21"/>
              </w:rPr>
              <w:t xml:space="preserve"> </w:t>
            </w:r>
            <w:r>
              <w:rPr>
                <w:rFonts w:hint="eastAsia" w:ascii="宋体" w:hAnsi="宋体" w:cs="宋体"/>
                <w:szCs w:val="21"/>
                <w:lang w:val="zh-TW" w:eastAsia="zh-TW" w:bidi="zh-TW"/>
              </w:rPr>
              <w:t>教师工资待遇落实情况(4分)</w:t>
            </w:r>
          </w:p>
        </w:tc>
        <w:tc>
          <w:tcPr>
            <w:tcW w:w="4536" w:type="dxa"/>
            <w:noWrap w:val="0"/>
            <w:vAlign w:val="center"/>
          </w:tcPr>
          <w:p>
            <w:pPr>
              <w:spacing w:line="0" w:lineRule="atLeast"/>
              <w:rPr>
                <w:rFonts w:ascii="宋体" w:hAnsi="宋体" w:cs="宋体"/>
                <w:szCs w:val="21"/>
                <w:lang w:val="zh-TW" w:bidi="zh-TW"/>
              </w:rPr>
            </w:pPr>
            <w:r>
              <w:rPr>
                <w:rFonts w:hint="eastAsia" w:ascii="宋体" w:hAnsi="宋体" w:cs="宋体"/>
                <w:szCs w:val="21"/>
                <w:lang w:bidi="zh-CN"/>
              </w:rPr>
              <w:t xml:space="preserve">   </w:t>
            </w:r>
            <w:r>
              <w:rPr>
                <w:rStyle w:val="6"/>
                <w:rFonts w:hint="eastAsia" w:ascii="宋体" w:hAnsi="宋体" w:eastAsia="宋体" w:cs="CESI仿宋-GB2312"/>
                <w:bCs/>
                <w:color w:val="000000"/>
                <w:sz w:val="21"/>
                <w:szCs w:val="21"/>
              </w:rPr>
              <w:t>2021年，市、县（区）两级市政均出台了义务教育教师工资待遇落实保障长效机制，为市直属义务教育教师发放绩效工资人均14890元，两县五区2021年度义务教育教师平均工资收入水平情况均高于公务员平均工资收入水平。</w:t>
            </w:r>
            <w:r>
              <w:rPr>
                <w:rFonts w:hint="eastAsia" w:ascii="宋体" w:hAnsi="宋体" w:cs="宋体"/>
                <w:szCs w:val="21"/>
                <w:lang w:val="zh-TW" w:bidi="zh-CN"/>
              </w:rPr>
              <w:t>2022年市本级义务教育学校教师工资所需经费9385.45万元全部纳入年初预算予以保障。</w:t>
            </w:r>
          </w:p>
        </w:tc>
        <w:tc>
          <w:tcPr>
            <w:tcW w:w="636" w:type="dxa"/>
            <w:noWrap w:val="0"/>
            <w:vAlign w:val="center"/>
          </w:tcPr>
          <w:p>
            <w:pPr>
              <w:spacing w:line="0" w:lineRule="atLeast"/>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center"/>
          </w:tcPr>
          <w:p>
            <w:pPr>
              <w:spacing w:line="0" w:lineRule="atLeast"/>
              <w:rPr>
                <w:rFonts w:ascii="宋体" w:hAnsi="宋体"/>
                <w:szCs w:val="21"/>
              </w:rPr>
            </w:pP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eastAsia="zh-TW" w:bidi="zh-TW"/>
              </w:rPr>
              <w:t>12.校额班额化解情况(3分)</w:t>
            </w:r>
          </w:p>
        </w:tc>
        <w:tc>
          <w:tcPr>
            <w:tcW w:w="4536" w:type="dxa"/>
            <w:noWrap w:val="0"/>
            <w:vAlign w:val="center"/>
          </w:tcPr>
          <w:p>
            <w:pPr>
              <w:spacing w:line="0" w:lineRule="atLeast"/>
              <w:rPr>
                <w:rFonts w:ascii="宋体" w:hAnsi="宋体" w:cs="宋体"/>
                <w:szCs w:val="21"/>
                <w:lang w:val="zh-TW" w:eastAsia="zh-TW" w:bidi="zh-TW"/>
              </w:rPr>
            </w:pPr>
            <w:r>
              <w:rPr>
                <w:rStyle w:val="6"/>
                <w:rFonts w:hint="eastAsia" w:ascii="宋体" w:hAnsi="宋体" w:eastAsia="宋体" w:cs="CESI仿宋-GB2312"/>
                <w:bCs/>
                <w:sz w:val="21"/>
                <w:szCs w:val="21"/>
              </w:rPr>
              <w:t>我</w:t>
            </w:r>
            <w:r>
              <w:rPr>
                <w:rStyle w:val="6"/>
                <w:rFonts w:ascii="宋体" w:hAnsi="宋体" w:eastAsia="宋体" w:cs="CESI仿宋-GB2312"/>
                <w:bCs/>
                <w:sz w:val="21"/>
                <w:szCs w:val="21"/>
              </w:rPr>
              <w:t>市</w:t>
            </w:r>
            <w:r>
              <w:rPr>
                <w:rStyle w:val="6"/>
                <w:rFonts w:hint="eastAsia" w:ascii="宋体" w:hAnsi="宋体" w:eastAsia="宋体" w:cs="CESI仿宋-GB2312"/>
                <w:bCs/>
                <w:sz w:val="21"/>
                <w:szCs w:val="21"/>
              </w:rPr>
              <w:t>高中无大校额、大班额，义务教育学校</w:t>
            </w:r>
            <w:r>
              <w:rPr>
                <w:rStyle w:val="6"/>
                <w:rFonts w:ascii="宋体" w:hAnsi="宋体" w:eastAsia="宋体" w:cs="CESI仿宋-GB2312"/>
                <w:bCs/>
                <w:sz w:val="21"/>
                <w:szCs w:val="21"/>
              </w:rPr>
              <w:t>无大班额。</w:t>
            </w:r>
          </w:p>
        </w:tc>
        <w:tc>
          <w:tcPr>
            <w:tcW w:w="636" w:type="dxa"/>
            <w:noWrap w:val="0"/>
            <w:vAlign w:val="center"/>
          </w:tcPr>
          <w:p>
            <w:pPr>
              <w:spacing w:line="0" w:lineRule="atLeas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276" w:type="dxa"/>
            <w:vMerge w:val="restart"/>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eastAsia="zh-TW" w:bidi="zh-TW"/>
              </w:rPr>
              <w:t>四、</w:t>
            </w:r>
            <w:r>
              <w:rPr>
                <w:rFonts w:hint="eastAsia" w:ascii="宋体" w:hAnsi="宋体" w:cs="宋体"/>
                <w:szCs w:val="21"/>
                <w:lang w:val="zh-TW" w:bidi="zh-TW"/>
              </w:rPr>
              <w:t>教育发展</w:t>
            </w:r>
          </w:p>
          <w:p>
            <w:pPr>
              <w:spacing w:line="0" w:lineRule="atLeast"/>
              <w:rPr>
                <w:rFonts w:ascii="宋体" w:hAnsi="宋体" w:cs="宋体"/>
                <w:szCs w:val="21"/>
                <w:lang w:val="zh-TW" w:eastAsia="zh-TW" w:bidi="zh-TW"/>
              </w:rPr>
            </w:pPr>
            <w:r>
              <w:rPr>
                <w:rFonts w:hint="eastAsia" w:ascii="宋体" w:hAnsi="宋体" w:cs="宋体"/>
                <w:szCs w:val="21"/>
                <w:lang w:val="zh-TW" w:bidi="zh-TW"/>
              </w:rPr>
              <w:t>（19</w:t>
            </w:r>
            <w:r>
              <w:rPr>
                <w:rFonts w:hint="eastAsia" w:ascii="宋体" w:hAnsi="宋体" w:cs="宋体"/>
                <w:szCs w:val="21"/>
                <w:lang w:val="zh-TW" w:eastAsia="zh-TW" w:bidi="zh-TW"/>
              </w:rPr>
              <w:t>分）</w:t>
            </w: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eastAsia="zh-TW" w:bidi="zh-TW"/>
              </w:rPr>
              <w:t>13.学前教育普及普惠发展情况(6分)</w:t>
            </w:r>
          </w:p>
        </w:tc>
        <w:tc>
          <w:tcPr>
            <w:tcW w:w="4536" w:type="dxa"/>
            <w:noWrap w:val="0"/>
            <w:vAlign w:val="center"/>
          </w:tcPr>
          <w:p>
            <w:pPr>
              <w:spacing w:line="0" w:lineRule="atLeast"/>
              <w:rPr>
                <w:rFonts w:ascii="宋体" w:hAnsi="宋体" w:cs="宋体"/>
                <w:szCs w:val="21"/>
                <w:lang w:val="zh-TW" w:eastAsia="zh-TW" w:bidi="zh-TW"/>
              </w:rPr>
            </w:pPr>
            <w:r>
              <w:rPr>
                <w:rFonts w:hint="eastAsia" w:ascii="宋体" w:hAnsi="宋体" w:cs="CESI仿宋-GB2312"/>
                <w:szCs w:val="21"/>
              </w:rPr>
              <w:t>2021年底，</w:t>
            </w:r>
            <w:r>
              <w:rPr>
                <w:rStyle w:val="7"/>
                <w:rFonts w:hint="eastAsia" w:ascii="宋体" w:hAnsi="宋体" w:cs="CESI仿宋-GB2312"/>
                <w:szCs w:val="21"/>
              </w:rPr>
              <w:t>共增加优质普惠学位2042个，公办幼儿园在园幼儿占比达到46.6%，普惠率达到89.3%。</w:t>
            </w:r>
          </w:p>
        </w:tc>
        <w:tc>
          <w:tcPr>
            <w:tcW w:w="636" w:type="dxa"/>
            <w:noWrap w:val="0"/>
            <w:vAlign w:val="center"/>
          </w:tcPr>
          <w:p>
            <w:pPr>
              <w:spacing w:line="0" w:lineRule="atLeast"/>
              <w:jc w:val="center"/>
              <w:rPr>
                <w:rFonts w:ascii="宋体" w:hAnsi="宋体" w:cs="宋体"/>
                <w:szCs w:val="21"/>
                <w:lang w:bidi="zh-TW"/>
              </w:rPr>
            </w:pPr>
            <w:r>
              <w:rPr>
                <w:rFonts w:hint="eastAsia" w:ascii="宋体" w:hAnsi="宋体" w:cs="宋体"/>
                <w:szCs w:val="21"/>
                <w:lang w:bidi="zh-TW"/>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vMerge w:val="continue"/>
            <w:noWrap w:val="0"/>
            <w:vAlign w:val="bottom"/>
          </w:tcPr>
          <w:p>
            <w:pPr>
              <w:spacing w:line="0" w:lineRule="atLeast"/>
              <w:rPr>
                <w:rFonts w:ascii="宋体" w:hAnsi="宋体"/>
                <w:szCs w:val="21"/>
              </w:rPr>
            </w:pP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eastAsia="zh-TW" w:bidi="zh-TW"/>
              </w:rPr>
              <w:t>14.义务教育优质均衡推进情况(8分)</w:t>
            </w:r>
          </w:p>
        </w:tc>
        <w:tc>
          <w:tcPr>
            <w:tcW w:w="4536"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bidi="zh-TW"/>
              </w:rPr>
              <w:t>2021</w:t>
            </w:r>
            <w:r>
              <w:rPr>
                <w:rFonts w:hint="eastAsia" w:ascii="宋体" w:hAnsi="宋体" w:cs="宋体"/>
                <w:szCs w:val="21"/>
                <w:lang w:val="zh-TW" w:eastAsia="zh-TW" w:bidi="zh-TW"/>
              </w:rPr>
              <w:t>年度各县区中小学综合差异系数均达到标准；</w:t>
            </w:r>
            <w:r>
              <w:rPr>
                <w:rFonts w:hint="eastAsia" w:ascii="宋体" w:hAnsi="宋体" w:cs="宋体"/>
                <w:szCs w:val="21"/>
                <w:lang w:val="zh-TW" w:bidi="zh-TW"/>
              </w:rPr>
              <w:t>政府将义务教育优质均衡发展工作列入重点工作，正在有序推进中。</w:t>
            </w:r>
            <w:r>
              <w:rPr>
                <w:rFonts w:ascii="宋体" w:hAnsi="宋体" w:cs="宋体"/>
                <w:szCs w:val="21"/>
                <w:lang w:bidi="zh-TW"/>
              </w:rPr>
              <w:t>集团化办学数量占义务教育学校总数的91.4%</w:t>
            </w:r>
            <w:r>
              <w:rPr>
                <w:rFonts w:hint="eastAsia" w:ascii="宋体" w:hAnsi="宋体" w:cs="宋体"/>
                <w:szCs w:val="21"/>
                <w:lang w:bidi="zh-TW"/>
              </w:rPr>
              <w:t>。</w:t>
            </w:r>
          </w:p>
        </w:tc>
        <w:tc>
          <w:tcPr>
            <w:tcW w:w="636" w:type="dxa"/>
            <w:noWrap w:val="0"/>
            <w:vAlign w:val="center"/>
          </w:tcPr>
          <w:p>
            <w:pPr>
              <w:spacing w:line="0" w:lineRule="atLeast"/>
              <w:jc w:val="center"/>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76" w:type="dxa"/>
            <w:vMerge w:val="continue"/>
            <w:noWrap w:val="0"/>
            <w:vAlign w:val="bottom"/>
          </w:tcPr>
          <w:p>
            <w:pPr>
              <w:spacing w:line="0" w:lineRule="atLeast"/>
              <w:rPr>
                <w:rFonts w:ascii="宋体" w:hAnsi="宋体"/>
                <w:szCs w:val="21"/>
              </w:rPr>
            </w:pPr>
          </w:p>
        </w:tc>
        <w:tc>
          <w:tcPr>
            <w:tcW w:w="3119" w:type="dxa"/>
            <w:noWrap w:val="0"/>
            <w:vAlign w:val="center"/>
          </w:tcPr>
          <w:p>
            <w:pPr>
              <w:spacing w:line="0" w:lineRule="atLeast"/>
              <w:rPr>
                <w:rFonts w:ascii="宋体" w:hAnsi="宋体" w:cs="宋体"/>
                <w:szCs w:val="21"/>
                <w:lang w:val="zh-TW" w:eastAsia="zh-TW" w:bidi="zh-TW"/>
              </w:rPr>
            </w:pPr>
            <w:r>
              <w:rPr>
                <w:rFonts w:hint="eastAsia" w:ascii="宋体" w:hAnsi="宋体" w:cs="宋体"/>
                <w:szCs w:val="21"/>
                <w:lang w:val="zh-TW" w:eastAsia="zh-TW" w:bidi="zh-TW"/>
              </w:rPr>
              <w:t>15.社会满意度调查情况(5分)</w:t>
            </w:r>
          </w:p>
        </w:tc>
        <w:tc>
          <w:tcPr>
            <w:tcW w:w="4536" w:type="dxa"/>
            <w:noWrap w:val="0"/>
            <w:vAlign w:val="center"/>
          </w:tcPr>
          <w:p>
            <w:pPr>
              <w:spacing w:line="0" w:lineRule="atLeast"/>
              <w:rPr>
                <w:rFonts w:ascii="宋体" w:hAnsi="宋体" w:cs="宋体"/>
                <w:szCs w:val="21"/>
                <w:lang w:val="zh-TW" w:bidi="zh-TW"/>
              </w:rPr>
            </w:pPr>
            <w:r>
              <w:rPr>
                <w:rFonts w:hint="eastAsia" w:ascii="宋体" w:hAnsi="宋体" w:cs="宋体"/>
                <w:szCs w:val="21"/>
                <w:lang w:val="zh-TW" w:bidi="zh-TW"/>
              </w:rPr>
              <w:t>自评暂不扣分</w:t>
            </w:r>
          </w:p>
        </w:tc>
        <w:tc>
          <w:tcPr>
            <w:tcW w:w="636" w:type="dxa"/>
            <w:noWrap w:val="0"/>
            <w:vAlign w:val="center"/>
          </w:tcPr>
          <w:p>
            <w:pPr>
              <w:spacing w:line="0" w:lineRule="atLeast"/>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76" w:type="dxa"/>
            <w:noWrap w:val="0"/>
            <w:vAlign w:val="center"/>
          </w:tcPr>
          <w:p>
            <w:pPr>
              <w:wordWrap w:val="0"/>
              <w:spacing w:line="0" w:lineRule="atLeast"/>
              <w:jc w:val="center"/>
              <w:rPr>
                <w:rFonts w:ascii="宋体" w:hAnsi="宋体" w:cs="宋体"/>
                <w:szCs w:val="21"/>
                <w:lang w:val="zh-TW" w:bidi="zh-TW"/>
              </w:rPr>
            </w:pPr>
            <w:r>
              <w:rPr>
                <w:rFonts w:hint="eastAsia" w:ascii="宋体" w:hAnsi="宋体" w:cs="宋体"/>
                <w:szCs w:val="21"/>
                <w:lang w:val="zh-TW" w:bidi="zh-TW"/>
              </w:rPr>
              <w:t>自评总分</w:t>
            </w:r>
          </w:p>
        </w:tc>
        <w:tc>
          <w:tcPr>
            <w:tcW w:w="8291" w:type="dxa"/>
            <w:gridSpan w:val="3"/>
            <w:noWrap w:val="0"/>
            <w:vAlign w:val="center"/>
          </w:tcPr>
          <w:p>
            <w:pPr>
              <w:spacing w:line="0" w:lineRule="atLeast"/>
              <w:jc w:val="center"/>
              <w:rPr>
                <w:rFonts w:ascii="宋体" w:hAnsi="宋体" w:cs="宋体"/>
                <w:szCs w:val="21"/>
                <w:lang w:val="zh-TW" w:bidi="zh-TW"/>
              </w:rPr>
            </w:pPr>
            <w:r>
              <w:rPr>
                <w:rFonts w:hint="eastAsia" w:ascii="宋体" w:hAnsi="宋体" w:cs="宋体"/>
                <w:szCs w:val="21"/>
                <w:lang w:bidi="zh-TW"/>
              </w:rPr>
              <w:t>95.3</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30CB0E75"/>
    <w:rsid w:val="30CB0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rPr>
      <w:sz w:val="18"/>
      <w:szCs w:val="18"/>
    </w:rPr>
  </w:style>
  <w:style w:type="paragraph" w:customStyle="1" w:styleId="5">
    <w:name w:val="Body text|1"/>
    <w:basedOn w:val="1"/>
    <w:qFormat/>
    <w:uiPriority w:val="0"/>
    <w:pPr>
      <w:widowControl w:val="0"/>
      <w:adjustRightInd/>
      <w:snapToGrid/>
      <w:spacing w:after="0" w:line="403" w:lineRule="auto"/>
      <w:ind w:firstLine="400"/>
    </w:pPr>
    <w:rPr>
      <w:rFonts w:ascii="宋体" w:hAnsi="宋体" w:eastAsia="宋体" w:cs="宋体"/>
      <w:sz w:val="28"/>
      <w:szCs w:val="28"/>
      <w:lang w:val="zh-TW" w:eastAsia="zh-TW" w:bidi="zh-TW"/>
    </w:rPr>
  </w:style>
  <w:style w:type="character" w:customStyle="1" w:styleId="6">
    <w:name w:val="NormalCharacter"/>
    <w:semiHidden/>
    <w:qFormat/>
    <w:uiPriority w:val="0"/>
    <w:rPr>
      <w:rFonts w:ascii="Tahoma" w:hAnsi="Tahoma" w:eastAsia="微软雅黑" w:cs="Times New Roman"/>
      <w:sz w:val="22"/>
      <w:szCs w:val="22"/>
      <w:lang w:val="en-US" w:eastAsia="zh-CN" w:bidi="ar-SA"/>
    </w:rPr>
  </w:style>
  <w:style w:type="character" w:customStyle="1" w:styleId="7">
    <w:name w:val="15"/>
    <w:basedOn w:val="4"/>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2022-07-14T07:04:00Z</dcterms:created>
  <dc:creator>A羊娃娃</dc:creator>
  <cp:lastModifiedBy>A羊娃娃</cp:lastModifiedBy>
  <dcterms:modified xsi:type="dcterms:W3CDTF">2022-07-14T07:04:18Z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9A1772E4B265433D82452079C4DAC45F</vt:lpwstr>
  </property>
</Properties>
</file>